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2"/>
          <w:szCs w:val="22"/>
          <w:rtl w:val="0"/>
        </w:rPr>
        <w:t xml:space="preserve">PRESS RELEASE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ab/>
        <w:tab/>
        <w:tab/>
        <w:tab/>
        <w:t xml:space="preserve">           </w:t>
        <w:tab/>
        <w:t xml:space="preserve"> February 3, 2026, 7:00 am CEST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heading=h.aofrpqcy5e6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PUBLICATION OF A TRANSPARANCY NOTIFICATION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nl6l3xrfi2f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Brussels, Belgium – 3 February 2026 – Keyware (EURONEXT Brussels: KEYW) a leading supplier of electronic payment solutions and software development, discloses today that a shareholder has crossed below the 10% threshold.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According to Article 14, first paragraph, of the Law of 2 May 2007 on disclosure of major holdings in issuers whose shares are admitted to trading on a regulated Belgian market, Keyware Technologies NV (“Company”) discloses today that it has received a notification from Big Friend NV of an important participation triggered by a downward threshold crossing.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Summary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 30 January 2026, Big Friend NV notified that it no longer holds voting rights in Keyware Technologies NV. The downward crossing of the 10% threshold is triggered by the sale of voting securities or voting rights.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Content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received notification comprises the following information: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reason for the notification is triggered by the sale of voting securities or voting rights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notification is issued by the parent enterprise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legal entity subject to the notification requirement is Big Friend NV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transaction date is 26 January 2026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threshold that is crossed (downwards) is 10%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denominator is 22,516,649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notification details are as follows 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/>
        <w:drawing>
          <wp:inline distB="0" distT="0" distL="0" distR="0">
            <wp:extent cx="5746750" cy="669290"/>
            <wp:effectExtent b="0" l="0" r="0" t="0"/>
            <wp:docPr id="141942289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669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Stéphane Vandervelde is the ultimate beneficial owner controlling Big Friend NV  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transparency notification can be consulted on the Company website in its original form (Dutch) via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https://www.keyware.com/nl/investeerder/wettelijke-informatie/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Statutory Thresholds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accordance with the articles of association of Keyware Technologies NV and article 18 of the Law of 2 May 2007 on the disclosure of significant shareholdings, the threshold at which a shareholding must be disclosed is set at 5%, and thereafter at each multiple of 5%.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Notifications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Notifications must be submitted both to Keyware Technologies NV and to the FSMA. The FSMA requires electronic submission via the e-mail address trp.fin@fsma.be. Keyware also recommends sending a notification by e-mail marked for the attention of Keyware Investor Relations (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ir@keyware.com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). The relevant notifications are published on the investor page of Keyware under the section “Wettelijke informatie”. 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single"/>
        </w:pBdr>
        <w:spacing w:line="264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About Keyware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Keyware (EURONEXT Brussels: KEYW) is a leading supplier of solutions for electronic payments and transactions processing, as well as a software developer for payment related solutions. Keyware is located in Zaventem, Belgium and more information is available at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www.keyware.com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For more information, please contact: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Mr. Pieter Geeraerts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CEO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Keyware Technologies NV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Phone: +32 (0)2 346.25.23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ir@keyware.com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2"/>
          <w:szCs w:val="22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www.keyware.com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both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REGULATED INFORMATION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4594225</wp:posOffset>
          </wp:positionH>
          <wp:positionV relativeFrom="paragraph">
            <wp:posOffset>-254634</wp:posOffset>
          </wp:positionV>
          <wp:extent cx="1153795" cy="481330"/>
          <wp:effectExtent b="0" l="0" r="0" t="0"/>
          <wp:wrapNone/>
          <wp:docPr descr="cid:9aab02ef-e506-484b-9470-bafba074519e@be.keyware.com" id="1419422893" name="image1.png"/>
          <a:graphic>
            <a:graphicData uri="http://schemas.openxmlformats.org/drawingml/2006/picture">
              <pic:pic>
                <pic:nvPicPr>
                  <pic:cNvPr descr="cid:9aab02ef-e506-484b-9470-bafba074519e@be.keyware.com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795" cy="4813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jc w:val="both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INSIDE INFORMATION  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7C6C9C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6C9C"/>
    <w:rPr>
      <w:rFonts w:ascii="Times New Roman" w:cs="Times New Roman" w:eastAsia="Times New Roman" w:hAnsi="Times New Roman"/>
      <w:sz w:val="24"/>
      <w:szCs w:val="24"/>
      <w:lang w:eastAsia="fr-BE" w:val="fr-BE"/>
    </w:rPr>
  </w:style>
  <w:style w:type="paragraph" w:styleId="BodyText">
    <w:name w:val="Body Text"/>
    <w:basedOn w:val="Normal"/>
    <w:link w:val="BodyTextChar"/>
    <w:rsid w:val="007C6C9C"/>
    <w:pPr>
      <w:widowControl w:val="0"/>
      <w:tabs>
        <w:tab w:val="left" w:pos="400"/>
      </w:tabs>
      <w:overflowPunct w:val="0"/>
      <w:autoSpaceDE w:val="0"/>
      <w:autoSpaceDN w:val="0"/>
      <w:adjustRightInd w:val="0"/>
    </w:pPr>
    <w:rPr>
      <w:rFonts w:ascii="Times" w:hAnsi="Times"/>
      <w:color w:val="ff0000"/>
      <w:sz w:val="20"/>
      <w:szCs w:val="20"/>
      <w:lang w:eastAsia="en-US" w:val="nl-NL"/>
    </w:rPr>
  </w:style>
  <w:style w:type="character" w:styleId="BodyTextChar" w:customStyle="1">
    <w:name w:val="Body Text Char"/>
    <w:basedOn w:val="DefaultParagraphFont"/>
    <w:link w:val="BodyText"/>
    <w:rsid w:val="007C6C9C"/>
    <w:rPr>
      <w:rFonts w:ascii="Times" w:cs="Times New Roman" w:eastAsia="Times New Roman" w:hAnsi="Times"/>
      <w:color w:val="ff0000"/>
      <w:sz w:val="20"/>
      <w:szCs w:val="20"/>
      <w:lang w:val="nl-NL"/>
    </w:rPr>
  </w:style>
  <w:style w:type="paragraph" w:styleId="ListParagraph">
    <w:name w:val="List Paragraph"/>
    <w:basedOn w:val="Normal"/>
    <w:uiPriority w:val="34"/>
    <w:qFormat w:val="1"/>
    <w:rsid w:val="007C6C9C"/>
    <w:pPr>
      <w:ind w:left="720"/>
    </w:pPr>
  </w:style>
  <w:style w:type="table" w:styleId="TableGrid">
    <w:name w:val="Table Grid"/>
    <w:basedOn w:val="TableNormal"/>
    <w:uiPriority w:val="39"/>
    <w:rsid w:val="007C6C9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0E7FC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7FC6"/>
    <w:rPr>
      <w:rFonts w:ascii="Times New Roman" w:cs="Times New Roman" w:eastAsia="Times New Roman" w:hAnsi="Times New Roman"/>
      <w:sz w:val="24"/>
      <w:szCs w:val="24"/>
      <w:lang w:eastAsia="fr-BE" w:val="fr-BE"/>
    </w:rPr>
  </w:style>
  <w:style w:type="character" w:styleId="Hyperlink">
    <w:name w:val="Hyperlink"/>
    <w:basedOn w:val="DefaultParagraphFont"/>
    <w:rsid w:val="00557E88"/>
    <w:rPr>
      <w:color w:val="0000ff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rsid w:val="003A1352"/>
    <w:rPr>
      <w:rFonts w:ascii="Times New Roman" w:cs="Times New Roman" w:eastAsia="Times New Roman" w:hAnsi="Times New Roman"/>
      <w:b w:val="1"/>
      <w:bCs w:val="1"/>
      <w:sz w:val="20"/>
      <w:szCs w:val="20"/>
      <w:lang w:eastAsia="fr-FR"/>
    </w:rPr>
  </w:style>
  <w:style w:type="paragraph" w:styleId="Revision">
    <w:name w:val="Revision"/>
    <w:hidden w:val="1"/>
    <w:uiPriority w:val="99"/>
    <w:semiHidden w:val="1"/>
    <w:rsid w:val="0050251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fr-BE" w:val="fr-BE"/>
    </w:rPr>
  </w:style>
  <w:style w:type="character" w:styleId="PlaceholderText">
    <w:name w:val="Placeholder Text"/>
    <w:basedOn w:val="DefaultParagraphFont"/>
    <w:uiPriority w:val="99"/>
    <w:semiHidden w:val="1"/>
    <w:rsid w:val="007B4838"/>
    <w:rPr>
      <w:color w:val="80808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C7D25"/>
    <w:rPr>
      <w:color w:val="605e5c"/>
      <w:shd w:color="auto" w:fill="e1dfdd" w:val="clear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F44BA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fr-BE" w:val="fr-B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keyware.com" TargetMode="External"/><Relationship Id="rId10" Type="http://schemas.openxmlformats.org/officeDocument/2006/relationships/hyperlink" Target="http://www.keyware.com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r@keyware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keyware.com/nl/investeerder/wettelijke-informati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7e29/GBJ9mt1mTL2AEtoA185Pg==">CgMxLjAyDmguYW9mcnBxY3k1ZTZhMg5oLm5sNmwzeHJmaTJmZDgAciExRzRPZ1F5MlhjMW5sTFM1ZHUwZWlScXN5amtCZHVCZnc=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2024-12-13T14:21:00Z</dcterms:created>
  <dc:creator>Alain Hubert</dc:creator>
</cp:coreProperties>
</file>